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9F" w:rsidRDefault="005554ED">
      <w:pPr>
        <w:pStyle w:val="Heading1"/>
        <w:jc w:val="center"/>
      </w:pPr>
      <w:r>
        <w:t>Risk Assessment: Rossendale Drum Majorettes at Whitewell Bottom Community Centre</w:t>
      </w:r>
    </w:p>
    <w:p w:rsidR="00515C9F" w:rsidRDefault="005554ED">
      <w:r>
        <w:rPr>
          <w:b/>
        </w:rPr>
        <w:t>Location:</w:t>
      </w:r>
      <w:r>
        <w:t xml:space="preserve"> Whitewell Bottom Community Centre, Rossendale</w:t>
      </w:r>
    </w:p>
    <w:p w:rsidR="00515C9F" w:rsidRDefault="005554ED">
      <w:r>
        <w:rPr>
          <w:b/>
        </w:rPr>
        <w:t>Activity:</w:t>
      </w:r>
      <w:r>
        <w:t xml:space="preserve"> Majorette Practice/Performance</w:t>
      </w:r>
    </w:p>
    <w:p w:rsidR="00515C9F" w:rsidRDefault="005554ED">
      <w:r>
        <w:rPr>
          <w:b/>
        </w:rPr>
        <w:t>Date of Assessment:</w:t>
      </w:r>
      <w:r>
        <w:t xml:space="preserve"> 20/05/2025</w:t>
      </w:r>
    </w:p>
    <w:p w:rsidR="00515C9F" w:rsidRDefault="005554ED">
      <w:r>
        <w:rPr>
          <w:b/>
        </w:rPr>
        <w:t>Assessor</w:t>
      </w:r>
      <w:r w:rsidR="004F6FAD">
        <w:rPr>
          <w:b/>
        </w:rPr>
        <w:t>: Emma Mainwaring</w:t>
      </w:r>
    </w:p>
    <w:p w:rsidR="00515C9F" w:rsidRDefault="005554ED">
      <w:r>
        <w:rPr>
          <w:b/>
        </w:rPr>
        <w:t>Review Date:</w:t>
      </w:r>
      <w:r w:rsidR="004F6FAD">
        <w:t xml:space="preserve"> 20/05/2025</w:t>
      </w:r>
    </w:p>
    <w:p w:rsidR="00515C9F" w:rsidRDefault="00515C9F"/>
    <w:p w:rsidR="00515C9F" w:rsidRDefault="005554ED">
      <w:pPr>
        <w:pStyle w:val="Heading2"/>
      </w:pPr>
      <w:r>
        <w:t>1. General Hazards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15C9F" w:rsidTr="00515C9F">
        <w:trPr>
          <w:cnfStyle w:val="100000000000"/>
        </w:trPr>
        <w:tc>
          <w:tcPr>
            <w:cnfStyle w:val="001000000000"/>
            <w:tcW w:w="1728" w:type="dxa"/>
          </w:tcPr>
          <w:p w:rsidR="00515C9F" w:rsidRDefault="005554ED">
            <w:r>
              <w:t>Hazard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After Controls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Slips, trips, and falls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Majorettes, spectators, committee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Ensure floors are dry and free of obstacles. Tape down cables. Regular housekeeping.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1728" w:type="dxa"/>
          </w:tcPr>
          <w:p w:rsidR="00515C9F" w:rsidRDefault="005554ED">
            <w:r>
              <w:t>Inadequate lighting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All present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Low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Ensure all lighting is functional and switched on. Use portable lighting if necessary.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Low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Uneven flooring or steps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All present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Highlight step edges with hazard tape. Supervise vulnerable participants.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</w:tbl>
    <w:p w:rsidR="00515C9F" w:rsidRDefault="00515C9F"/>
    <w:p w:rsidR="00515C9F" w:rsidRDefault="005554ED">
      <w:pPr>
        <w:pStyle w:val="Heading2"/>
      </w:pPr>
      <w:r>
        <w:t>2. Rehearsal/Performance Hazards</w:t>
      </w:r>
    </w:p>
    <w:tbl>
      <w:tblPr>
        <w:tblStyle w:val="LightGrid-Accent1"/>
        <w:tblW w:w="0" w:type="auto"/>
        <w:tblLook w:val="04A0"/>
      </w:tblPr>
      <w:tblGrid>
        <w:gridCol w:w="2643"/>
        <w:gridCol w:w="1543"/>
        <w:gridCol w:w="1428"/>
        <w:gridCol w:w="1817"/>
        <w:gridCol w:w="1425"/>
      </w:tblGrid>
      <w:tr w:rsidR="00515C9F" w:rsidTr="00515C9F">
        <w:trPr>
          <w:cnfStyle w:val="100000000000"/>
        </w:trPr>
        <w:tc>
          <w:tcPr>
            <w:cnfStyle w:val="001000000000"/>
            <w:tcW w:w="1728" w:type="dxa"/>
          </w:tcPr>
          <w:p w:rsidR="00515C9F" w:rsidRDefault="005554ED">
            <w:r>
              <w:t>Hazard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After Controls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Injury from batons, glocks, or flags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Majorettes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515C9F" w:rsidRDefault="005554ED" w:rsidP="004F6FAD">
            <w:pPr>
              <w:cnfStyle w:val="000000100000"/>
            </w:pPr>
            <w:r>
              <w:t>Maintain safe spacing during routines. Supervised rehearsals.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1728" w:type="dxa"/>
          </w:tcPr>
          <w:p w:rsidR="00515C9F" w:rsidRDefault="005554ED">
            <w:r>
              <w:lastRenderedPageBreak/>
              <w:t>Overexertion/dehydration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Majorettes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Medium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Regular breaks. Water available. Encourage warm-ups and cool-downs.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Low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Noise levels (hearing damage)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Majorettes, younger children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  <w:tc>
          <w:tcPr>
            <w:tcW w:w="1728" w:type="dxa"/>
          </w:tcPr>
          <w:p w:rsidR="00515C9F" w:rsidRDefault="005554ED" w:rsidP="004F6FAD">
            <w:pPr>
              <w:cnfStyle w:val="000000100000"/>
            </w:pPr>
            <w:r>
              <w:t xml:space="preserve">Monitor volume levels. </w:t>
            </w:r>
            <w:r w:rsidR="004F6FAD">
              <w:t>Use ear defenders/plugs</w:t>
            </w:r>
            <w:r>
              <w:t>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</w:tbl>
    <w:p w:rsidR="00515C9F" w:rsidRDefault="00515C9F"/>
    <w:p w:rsidR="00515C9F" w:rsidRDefault="005554ED">
      <w:pPr>
        <w:pStyle w:val="Heading2"/>
      </w:pPr>
      <w:r>
        <w:t>3. Fire Safety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15C9F" w:rsidTr="00515C9F">
        <w:trPr>
          <w:cnfStyle w:val="100000000000"/>
        </w:trPr>
        <w:tc>
          <w:tcPr>
            <w:cnfStyle w:val="001000000000"/>
            <w:tcW w:w="1728" w:type="dxa"/>
          </w:tcPr>
          <w:p w:rsidR="00515C9F" w:rsidRDefault="005554ED">
            <w:r>
              <w:t>Hazard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After Controls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Fire risk from electrical equipment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All present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High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PAT test equipment regularly. Avoid socket overloads. Fire extinguishers present. Know evacuation routes.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1728" w:type="dxa"/>
          </w:tcPr>
          <w:p w:rsidR="00515C9F" w:rsidRDefault="005554ED">
            <w:r>
              <w:t>Blocked fire exits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All present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High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Keep fire exits clear. Assign fire marshal. Conduct fire drills regularly.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Low</w:t>
            </w:r>
          </w:p>
        </w:tc>
      </w:tr>
    </w:tbl>
    <w:p w:rsidR="00515C9F" w:rsidRDefault="00515C9F"/>
    <w:p w:rsidR="00515C9F" w:rsidRDefault="005554ED">
      <w:pPr>
        <w:pStyle w:val="Heading2"/>
      </w:pPr>
      <w:r>
        <w:t>4. COVID-19 / Illness Prevention (if relevant)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15C9F" w:rsidTr="00515C9F">
        <w:trPr>
          <w:cnfStyle w:val="100000000000"/>
        </w:trPr>
        <w:tc>
          <w:tcPr>
            <w:cnfStyle w:val="001000000000"/>
            <w:tcW w:w="1728" w:type="dxa"/>
          </w:tcPr>
          <w:p w:rsidR="00515C9F" w:rsidRDefault="005554ED">
            <w:r>
              <w:t>Hazard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After Controls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Transmission of illness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All present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Symptomatic persons to stay home. Hand sanitizer provided. Clean equipment between sessions.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</w:tbl>
    <w:p w:rsidR="00515C9F" w:rsidRDefault="00515C9F"/>
    <w:p w:rsidR="005554ED" w:rsidRDefault="005554ED"/>
    <w:p w:rsidR="005554ED" w:rsidRDefault="005554ED"/>
    <w:p w:rsidR="00515C9F" w:rsidRDefault="005554ED">
      <w:pPr>
        <w:pStyle w:val="Heading2"/>
      </w:pPr>
      <w:r>
        <w:lastRenderedPageBreak/>
        <w:t>5. Safeguarding &amp; Welfare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15C9F" w:rsidTr="00515C9F">
        <w:trPr>
          <w:cnfStyle w:val="100000000000"/>
        </w:trPr>
        <w:tc>
          <w:tcPr>
            <w:cnfStyle w:val="001000000000"/>
            <w:tcW w:w="1728" w:type="dxa"/>
          </w:tcPr>
          <w:p w:rsidR="00515C9F" w:rsidRDefault="005554ED">
            <w:r>
              <w:t>Hazard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15C9F" w:rsidRDefault="005554ED">
            <w:pPr>
              <w:cnfStyle w:val="100000000000"/>
            </w:pPr>
            <w:r>
              <w:t>Risk After Controls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1728" w:type="dxa"/>
          </w:tcPr>
          <w:p w:rsidR="00515C9F" w:rsidRDefault="005554ED">
            <w:r>
              <w:t>Inappropriate adult-child interaction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Children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High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DBS checks for adults. Two-adult rule enforced. Parents welcome.</w:t>
            </w:r>
          </w:p>
        </w:tc>
        <w:tc>
          <w:tcPr>
            <w:tcW w:w="1728" w:type="dxa"/>
          </w:tcPr>
          <w:p w:rsidR="00515C9F" w:rsidRDefault="005554ED">
            <w:pPr>
              <w:cnfStyle w:val="000000100000"/>
            </w:pPr>
            <w:r>
              <w:t>Low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1728" w:type="dxa"/>
          </w:tcPr>
          <w:p w:rsidR="00515C9F" w:rsidRDefault="005554ED">
            <w:r>
              <w:t>Missing child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Children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High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Sign-in/out system. Children do not leave alone. Headcounts regularly taken.</w:t>
            </w:r>
          </w:p>
        </w:tc>
        <w:tc>
          <w:tcPr>
            <w:tcW w:w="1728" w:type="dxa"/>
          </w:tcPr>
          <w:p w:rsidR="00515C9F" w:rsidRDefault="005554ED">
            <w:pPr>
              <w:cnfStyle w:val="000000010000"/>
            </w:pPr>
            <w:r>
              <w:t>Low</w:t>
            </w:r>
          </w:p>
        </w:tc>
      </w:tr>
    </w:tbl>
    <w:p w:rsidR="00515C9F" w:rsidRDefault="00515C9F"/>
    <w:p w:rsidR="004F6FAD" w:rsidRDefault="004F6FAD" w:rsidP="004F6FAD">
      <w:pPr>
        <w:pStyle w:val="Heading2"/>
      </w:pPr>
      <w:r>
        <w:t>6. Manual Handling for Equipment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4F6FAD" w:rsidTr="00127613">
        <w:trPr>
          <w:cnfStyle w:val="100000000000"/>
        </w:trPr>
        <w:tc>
          <w:tcPr>
            <w:cnfStyle w:val="001000000000"/>
            <w:tcW w:w="1728" w:type="dxa"/>
          </w:tcPr>
          <w:p w:rsidR="004F6FAD" w:rsidRDefault="004F6FAD" w:rsidP="00127613">
            <w:r>
              <w:t>Hazard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Risk After Controls</w:t>
            </w:r>
          </w:p>
        </w:tc>
      </w:tr>
      <w:tr w:rsidR="004F6FAD" w:rsidTr="00127613">
        <w:trPr>
          <w:cnfStyle w:val="000000100000"/>
        </w:trPr>
        <w:tc>
          <w:tcPr>
            <w:cnfStyle w:val="001000000000"/>
            <w:tcW w:w="1728" w:type="dxa"/>
          </w:tcPr>
          <w:p w:rsidR="004F6FAD" w:rsidRDefault="004F6FAD" w:rsidP="004F6FAD">
            <w:r>
              <w:t>Strain injuries from lifting/carrying heavy or awkward equipment (e.g., glockenspiels, drums, sticks case)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Majorettes, volunteers, committee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Use team lifts where possible. Apply proper lifting techniques. Use trolleys if available. Provide training on safe manual handling.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Low</w:t>
            </w:r>
          </w:p>
        </w:tc>
      </w:tr>
    </w:tbl>
    <w:p w:rsidR="004F6FAD" w:rsidRDefault="004F6FAD" w:rsidP="004F6FAD"/>
    <w:p w:rsidR="004F6FAD" w:rsidRDefault="004F6FAD" w:rsidP="004F6FAD">
      <w:pPr>
        <w:pStyle w:val="Heading2"/>
      </w:pPr>
      <w:r>
        <w:t>7. Car Parks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870"/>
        <w:gridCol w:w="1586"/>
      </w:tblGrid>
      <w:tr w:rsidR="004F6FAD" w:rsidTr="005554ED">
        <w:trPr>
          <w:cnfStyle w:val="100000000000"/>
        </w:trPr>
        <w:tc>
          <w:tcPr>
            <w:cnfStyle w:val="001000000000"/>
            <w:tcW w:w="1728" w:type="dxa"/>
          </w:tcPr>
          <w:p w:rsidR="004F6FAD" w:rsidRDefault="004F6FAD" w:rsidP="00127613">
            <w:r>
              <w:t>Hazard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Risk Level</w:t>
            </w:r>
          </w:p>
        </w:tc>
        <w:tc>
          <w:tcPr>
            <w:tcW w:w="1870" w:type="dxa"/>
          </w:tcPr>
          <w:p w:rsidR="004F6FAD" w:rsidRDefault="004F6FA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586" w:type="dxa"/>
          </w:tcPr>
          <w:p w:rsidR="004F6FAD" w:rsidRDefault="004F6FAD" w:rsidP="00127613">
            <w:pPr>
              <w:cnfStyle w:val="100000000000"/>
            </w:pPr>
            <w:r>
              <w:t>Risk After Controls</w:t>
            </w:r>
          </w:p>
        </w:tc>
      </w:tr>
      <w:tr w:rsidR="004F6FAD" w:rsidTr="005554ED">
        <w:trPr>
          <w:cnfStyle w:val="000000100000"/>
        </w:trPr>
        <w:tc>
          <w:tcPr>
            <w:cnfStyle w:val="001000000000"/>
            <w:tcW w:w="1728" w:type="dxa"/>
          </w:tcPr>
          <w:p w:rsidR="004F6FAD" w:rsidRDefault="004F6FAD" w:rsidP="00127613">
            <w:r>
              <w:t>Vehicle movement causing accidents, poor lighting, uneven surfaces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Majorettes, parents, visitors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Medium</w:t>
            </w:r>
          </w:p>
        </w:tc>
        <w:tc>
          <w:tcPr>
            <w:tcW w:w="1870" w:type="dxa"/>
          </w:tcPr>
          <w:p w:rsidR="004F6FAD" w:rsidRDefault="004F6FAD" w:rsidP="00127613">
            <w:pPr>
              <w:cnfStyle w:val="000000100000"/>
            </w:pPr>
            <w:r>
              <w:t>Supervise children in car park areas. Ensure speed limits are obeyed. Use designated walkways. Avoid distractions and keep area well-lit.</w:t>
            </w:r>
          </w:p>
        </w:tc>
        <w:tc>
          <w:tcPr>
            <w:tcW w:w="1586" w:type="dxa"/>
          </w:tcPr>
          <w:p w:rsidR="004F6FAD" w:rsidRDefault="004F6FAD" w:rsidP="00127613">
            <w:pPr>
              <w:cnfStyle w:val="000000100000"/>
            </w:pPr>
            <w:r>
              <w:t>Low</w:t>
            </w:r>
          </w:p>
        </w:tc>
      </w:tr>
    </w:tbl>
    <w:p w:rsidR="004F6FAD" w:rsidRDefault="004F6FAD"/>
    <w:p w:rsidR="004F6FAD" w:rsidRDefault="004F6FAD"/>
    <w:p w:rsidR="004F6FAD" w:rsidRDefault="004F6FAD" w:rsidP="004F6FAD">
      <w:pPr>
        <w:pStyle w:val="Heading2"/>
      </w:pPr>
      <w:r>
        <w:t>8.</w:t>
      </w:r>
      <w:r w:rsidRPr="004F6FAD">
        <w:t xml:space="preserve"> </w:t>
      </w:r>
      <w:r>
        <w:t>Doorway Blocking (Leaving/</w:t>
      </w:r>
      <w:r w:rsidR="005554ED">
        <w:t>entering)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38"/>
        <w:gridCol w:w="1728"/>
      </w:tblGrid>
      <w:tr w:rsidR="004F6FAD" w:rsidTr="00127613">
        <w:trPr>
          <w:cnfStyle w:val="100000000000"/>
        </w:trPr>
        <w:tc>
          <w:tcPr>
            <w:cnfStyle w:val="001000000000"/>
            <w:tcW w:w="1728" w:type="dxa"/>
          </w:tcPr>
          <w:p w:rsidR="004F6FAD" w:rsidRDefault="004F6FAD" w:rsidP="00127613">
            <w:r>
              <w:t>Hazard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100000000000"/>
            </w:pPr>
            <w:r>
              <w:t>Risk After Controls</w:t>
            </w:r>
          </w:p>
        </w:tc>
      </w:tr>
      <w:tr w:rsidR="004F6FAD" w:rsidTr="00127613">
        <w:trPr>
          <w:cnfStyle w:val="000000100000"/>
        </w:trPr>
        <w:tc>
          <w:tcPr>
            <w:cnfStyle w:val="001000000000"/>
            <w:tcW w:w="1728" w:type="dxa"/>
          </w:tcPr>
          <w:p w:rsidR="004F6FAD" w:rsidRDefault="004F6FAD" w:rsidP="00127613">
            <w:r>
              <w:t>Hazard: Risk of blocked exits causing delays in evacuation or trips/falls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All present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Keep doorways and emergency exits clear at all times. Remind members and parents not to congregate near entrances/exits. Use signage if possible.</w:t>
            </w:r>
          </w:p>
        </w:tc>
        <w:tc>
          <w:tcPr>
            <w:tcW w:w="1728" w:type="dxa"/>
          </w:tcPr>
          <w:p w:rsidR="004F6FAD" w:rsidRDefault="004F6FAD" w:rsidP="00127613">
            <w:pPr>
              <w:cnfStyle w:val="000000100000"/>
            </w:pPr>
            <w:r>
              <w:t>Low</w:t>
            </w:r>
          </w:p>
        </w:tc>
      </w:tr>
    </w:tbl>
    <w:p w:rsidR="004F6FAD" w:rsidRDefault="004F6FAD" w:rsidP="004F6FAD"/>
    <w:p w:rsidR="005554ED" w:rsidRDefault="005554ED" w:rsidP="005554ED">
      <w:pPr>
        <w:pStyle w:val="Heading2"/>
      </w:pPr>
      <w:r>
        <w:t>9.</w:t>
      </w:r>
      <w:r w:rsidRPr="004F6FAD">
        <w:t xml:space="preserve"> </w:t>
      </w:r>
      <w:r>
        <w:t>Food Safety / Allergy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554ED" w:rsidTr="00127613">
        <w:trPr>
          <w:cnfStyle w:val="100000000000"/>
        </w:trPr>
        <w:tc>
          <w:tcPr>
            <w:cnfStyle w:val="001000000000"/>
            <w:tcW w:w="1728" w:type="dxa"/>
          </w:tcPr>
          <w:p w:rsidR="005554ED" w:rsidRDefault="005554ED" w:rsidP="00127613">
            <w:r>
              <w:t>Hazard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After Controls</w:t>
            </w:r>
          </w:p>
        </w:tc>
      </w:tr>
      <w:tr w:rsidR="005554ED" w:rsidTr="00127613">
        <w:trPr>
          <w:cnfStyle w:val="000000100000"/>
        </w:trPr>
        <w:tc>
          <w:tcPr>
            <w:cnfStyle w:val="001000000000"/>
            <w:tcW w:w="1728" w:type="dxa"/>
          </w:tcPr>
          <w:p w:rsidR="005554ED" w:rsidRDefault="005554ED" w:rsidP="00127613">
            <w:r>
              <w:t>Allergic reactions to food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Majorettes, parents, visitors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High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 xml:space="preserve">Ensure all food provided is clearly labeled with ingredients. Check for known allergies before events. Encourage bringing own snacks if unsure. Avoid sharing food. Keep emergency medication (e.g., </w:t>
            </w:r>
            <w:proofErr w:type="spellStart"/>
            <w:r>
              <w:t>epipens</w:t>
            </w:r>
            <w:proofErr w:type="spellEnd"/>
            <w:r>
              <w:t>) accessible.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Low</w:t>
            </w:r>
          </w:p>
        </w:tc>
      </w:tr>
    </w:tbl>
    <w:p w:rsidR="004F6FAD" w:rsidRDefault="004F6FAD"/>
    <w:p w:rsidR="005554ED" w:rsidRDefault="005554ED"/>
    <w:p w:rsidR="005554ED" w:rsidRDefault="005554ED"/>
    <w:p w:rsidR="005554ED" w:rsidRDefault="005554ED"/>
    <w:p w:rsidR="005554ED" w:rsidRDefault="005554ED"/>
    <w:p w:rsidR="005554ED" w:rsidRDefault="005554ED"/>
    <w:p w:rsidR="005554ED" w:rsidRDefault="005554ED" w:rsidP="005554ED"/>
    <w:p w:rsidR="005554ED" w:rsidRDefault="005554ED" w:rsidP="005554ED">
      <w:pPr>
        <w:pStyle w:val="Heading2"/>
      </w:pPr>
      <w:r>
        <w:t>10.</w:t>
      </w:r>
      <w:r w:rsidRPr="004F6FAD">
        <w:t xml:space="preserve"> </w:t>
      </w:r>
      <w:r>
        <w:t>Unauthorised Access to Building by Members of the Public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554ED" w:rsidTr="00127613">
        <w:trPr>
          <w:cnfStyle w:val="100000000000"/>
        </w:trPr>
        <w:tc>
          <w:tcPr>
            <w:cnfStyle w:val="001000000000"/>
            <w:tcW w:w="1728" w:type="dxa"/>
          </w:tcPr>
          <w:p w:rsidR="005554ED" w:rsidRDefault="005554ED" w:rsidP="00127613">
            <w:r>
              <w:t>Hazard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After Controls</w:t>
            </w:r>
          </w:p>
        </w:tc>
      </w:tr>
      <w:tr w:rsidR="005554ED" w:rsidTr="00127613">
        <w:trPr>
          <w:cnfStyle w:val="000000100000"/>
        </w:trPr>
        <w:tc>
          <w:tcPr>
            <w:cnfStyle w:val="001000000000"/>
            <w:tcW w:w="1728" w:type="dxa"/>
          </w:tcPr>
          <w:p w:rsidR="005554ED" w:rsidRDefault="005554ED" w:rsidP="00127613">
            <w:r>
              <w:t>Unauthorised persons entering building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Majorettes, parents, visitors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Medium</w:t>
            </w:r>
          </w:p>
        </w:tc>
        <w:tc>
          <w:tcPr>
            <w:tcW w:w="1728" w:type="dxa"/>
          </w:tcPr>
          <w:p w:rsidR="005554ED" w:rsidRDefault="005554ED" w:rsidP="005554ED">
            <w:pPr>
              <w:cnfStyle w:val="000000100000"/>
            </w:pPr>
            <w:r>
              <w:t>Keep main entrances locked when not in use. Use a sign-in system for all visitors. Only allow authorised persons inside. Committee members to monitor entry and challenge unknown individuals. Use CCTV or alarms if possible.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  <w:r>
              <w:t>Low</w:t>
            </w:r>
          </w:p>
        </w:tc>
      </w:tr>
    </w:tbl>
    <w:p w:rsidR="005554ED" w:rsidRDefault="005554ED" w:rsidP="005554ED"/>
    <w:p w:rsidR="005554ED" w:rsidRDefault="005554ED" w:rsidP="005554ED"/>
    <w:p w:rsidR="005554ED" w:rsidRDefault="005554ED" w:rsidP="005554ED">
      <w:pPr>
        <w:pStyle w:val="Heading2"/>
      </w:pPr>
      <w:r>
        <w:t>11.</w:t>
      </w:r>
    </w:p>
    <w:tbl>
      <w:tblPr>
        <w:tblStyle w:val="LightGrid-Accent1"/>
        <w:tblW w:w="0" w:type="auto"/>
        <w:tblLook w:val="04A0"/>
      </w:tblPr>
      <w:tblGrid>
        <w:gridCol w:w="1728"/>
        <w:gridCol w:w="1728"/>
        <w:gridCol w:w="1728"/>
        <w:gridCol w:w="1728"/>
        <w:gridCol w:w="1728"/>
      </w:tblGrid>
      <w:tr w:rsidR="005554ED" w:rsidTr="00127613">
        <w:trPr>
          <w:cnfStyle w:val="100000000000"/>
        </w:trPr>
        <w:tc>
          <w:tcPr>
            <w:cnfStyle w:val="001000000000"/>
            <w:tcW w:w="1728" w:type="dxa"/>
          </w:tcPr>
          <w:p w:rsidR="005554ED" w:rsidRDefault="005554ED" w:rsidP="00127613">
            <w:r>
              <w:t>Hazard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Persons at Risk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Level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Control Measures</w:t>
            </w:r>
          </w:p>
        </w:tc>
        <w:tc>
          <w:tcPr>
            <w:tcW w:w="1728" w:type="dxa"/>
          </w:tcPr>
          <w:p w:rsidR="005554ED" w:rsidRDefault="005554ED" w:rsidP="00127613">
            <w:pPr>
              <w:cnfStyle w:val="100000000000"/>
            </w:pPr>
            <w:r>
              <w:t>Risk After Controls</w:t>
            </w:r>
          </w:p>
        </w:tc>
      </w:tr>
      <w:tr w:rsidR="005554ED" w:rsidTr="00127613">
        <w:trPr>
          <w:cnfStyle w:val="000000100000"/>
        </w:trPr>
        <w:tc>
          <w:tcPr>
            <w:cnfStyle w:val="001000000000"/>
            <w:tcW w:w="1728" w:type="dxa"/>
          </w:tcPr>
          <w:p w:rsidR="005554ED" w:rsidRDefault="005554ED" w:rsidP="00127613"/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</w:p>
        </w:tc>
        <w:tc>
          <w:tcPr>
            <w:tcW w:w="1728" w:type="dxa"/>
          </w:tcPr>
          <w:p w:rsidR="005554ED" w:rsidRDefault="005554ED" w:rsidP="00127613">
            <w:pPr>
              <w:cnfStyle w:val="000000100000"/>
            </w:pPr>
          </w:p>
        </w:tc>
      </w:tr>
    </w:tbl>
    <w:p w:rsidR="005554ED" w:rsidRDefault="005554ED" w:rsidP="005554ED"/>
    <w:p w:rsidR="005554ED" w:rsidRDefault="005554ED"/>
    <w:p w:rsidR="004F6FAD" w:rsidRDefault="004F6FAD"/>
    <w:p w:rsidR="00515C9F" w:rsidRDefault="005554ED">
      <w:pPr>
        <w:pStyle w:val="Heading2"/>
      </w:pPr>
      <w:r>
        <w:t>Emergency Contacts &amp; Procedures</w:t>
      </w:r>
    </w:p>
    <w:tbl>
      <w:tblPr>
        <w:tblStyle w:val="LightGrid-Accent1"/>
        <w:tblW w:w="0" w:type="auto"/>
        <w:tblLook w:val="04A0"/>
      </w:tblPr>
      <w:tblGrid>
        <w:gridCol w:w="4320"/>
        <w:gridCol w:w="4320"/>
      </w:tblGrid>
      <w:tr w:rsidR="00515C9F" w:rsidTr="00515C9F">
        <w:trPr>
          <w:cnfStyle w:val="100000000000"/>
        </w:trPr>
        <w:tc>
          <w:tcPr>
            <w:cnfStyle w:val="001000000000"/>
            <w:tcW w:w="4320" w:type="dxa"/>
          </w:tcPr>
          <w:p w:rsidR="00515C9F" w:rsidRDefault="005554ED">
            <w:r>
              <w:t>Item</w:t>
            </w:r>
          </w:p>
        </w:tc>
        <w:tc>
          <w:tcPr>
            <w:tcW w:w="4320" w:type="dxa"/>
          </w:tcPr>
          <w:p w:rsidR="00515C9F" w:rsidRDefault="005554ED">
            <w:pPr>
              <w:cnfStyle w:val="100000000000"/>
            </w:pPr>
            <w:r>
              <w:t>Details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4320" w:type="dxa"/>
          </w:tcPr>
          <w:p w:rsidR="00515C9F" w:rsidRDefault="005554ED">
            <w:r>
              <w:t>Nearest Defibrillator</w:t>
            </w:r>
          </w:p>
        </w:tc>
        <w:tc>
          <w:tcPr>
            <w:tcW w:w="4320" w:type="dxa"/>
          </w:tcPr>
          <w:p w:rsidR="00515C9F" w:rsidRDefault="004F6FAD">
            <w:pPr>
              <w:cnfStyle w:val="000000100000"/>
            </w:pPr>
            <w:r>
              <w:t>Outside of centre doorway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4320" w:type="dxa"/>
          </w:tcPr>
          <w:p w:rsidR="00515C9F" w:rsidRDefault="005554ED">
            <w:r>
              <w:t>First Aider on site</w:t>
            </w:r>
          </w:p>
        </w:tc>
        <w:tc>
          <w:tcPr>
            <w:tcW w:w="4320" w:type="dxa"/>
          </w:tcPr>
          <w:p w:rsidR="00515C9F" w:rsidRDefault="004F6FAD">
            <w:pPr>
              <w:cnfStyle w:val="000000010000"/>
            </w:pPr>
            <w:r>
              <w:t>Any committee member</w:t>
            </w:r>
          </w:p>
        </w:tc>
      </w:tr>
      <w:tr w:rsidR="00515C9F" w:rsidTr="00515C9F">
        <w:trPr>
          <w:cnfStyle w:val="000000100000"/>
        </w:trPr>
        <w:tc>
          <w:tcPr>
            <w:cnfStyle w:val="001000000000"/>
            <w:tcW w:w="4320" w:type="dxa"/>
          </w:tcPr>
          <w:p w:rsidR="00515C9F" w:rsidRDefault="005554ED">
            <w:r>
              <w:t>Emergency Services</w:t>
            </w:r>
          </w:p>
        </w:tc>
        <w:tc>
          <w:tcPr>
            <w:tcW w:w="4320" w:type="dxa"/>
          </w:tcPr>
          <w:p w:rsidR="00515C9F" w:rsidRDefault="005554ED">
            <w:pPr>
              <w:cnfStyle w:val="000000100000"/>
            </w:pPr>
            <w:r>
              <w:t>999</w:t>
            </w:r>
          </w:p>
        </w:tc>
      </w:tr>
      <w:tr w:rsidR="00515C9F" w:rsidTr="00515C9F">
        <w:trPr>
          <w:cnfStyle w:val="000000010000"/>
        </w:trPr>
        <w:tc>
          <w:tcPr>
            <w:cnfStyle w:val="001000000000"/>
            <w:tcW w:w="4320" w:type="dxa"/>
          </w:tcPr>
          <w:p w:rsidR="00515C9F" w:rsidRDefault="005554ED">
            <w:r>
              <w:t>Nearest Hospital</w:t>
            </w:r>
          </w:p>
        </w:tc>
        <w:tc>
          <w:tcPr>
            <w:tcW w:w="4320" w:type="dxa"/>
          </w:tcPr>
          <w:p w:rsidR="00515C9F" w:rsidRDefault="005554ED">
            <w:pPr>
              <w:cnfStyle w:val="000000010000"/>
            </w:pPr>
            <w:r>
              <w:t>Royal Blackburn Hospital or Burnley General</w:t>
            </w:r>
          </w:p>
        </w:tc>
      </w:tr>
    </w:tbl>
    <w:p w:rsidR="00000000" w:rsidRDefault="005554ED"/>
    <w:p w:rsidR="004F6FAD" w:rsidRDefault="004F6FAD"/>
    <w:sectPr w:rsidR="004F6FAD" w:rsidSect="004F6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F6FAD"/>
    <w:rsid w:val="00515C9F"/>
    <w:rsid w:val="005554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E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25C8A-2B40-4022-A349-53342EBD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Carole</cp:lastModifiedBy>
  <cp:revision>2</cp:revision>
  <dcterms:created xsi:type="dcterms:W3CDTF">2025-05-20T14:50:00Z</dcterms:created>
  <dcterms:modified xsi:type="dcterms:W3CDTF">2025-05-20T14:50:00Z</dcterms:modified>
</cp:coreProperties>
</file>